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木垒哈萨克自治县第三幼儿园</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木垒哈萨克自治县第三幼儿园2023年度，实有人数</w:t>
      </w:r>
      <w:r>
        <w:rPr>
          <w:rFonts w:hint="eastAsia" w:ascii="仿宋_GB2312" w:eastAsia="仿宋_GB2312"/>
          <w:sz w:val="32"/>
          <w:szCs w:val="32"/>
          <w:lang w:val="zh-CN"/>
        </w:rPr>
        <w:t>5</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单位无下属预算单位，下设3个处室，分别是：财务室、教务处、安全总务科</w:t>
      </w:r>
      <w:r>
        <w:rPr>
          <w:rFonts w:hint="eastAsia" w:ascii="仿宋_GB2312" w:hAnsi="宋体" w:eastAsia="仿宋_GB2312" w:cs="宋体"/>
          <w:kern w:val="0"/>
          <w:sz w:val="32"/>
          <w:szCs w:val="32"/>
        </w:rPr>
        <w:t>。</w:t>
      </w:r>
    </w:p>
    <w:p>
      <w:pPr>
        <w:widowControl/>
        <w:jc w:val="left"/>
        <w:rPr>
          <w:rFonts w:hint="eastAsia" w:ascii="黑体" w:hAnsi="黑体" w:eastAsia="黑体"/>
          <w:sz w:val="32"/>
          <w:szCs w:val="32"/>
        </w:rPr>
      </w:pPr>
      <w:bookmarkStart w:id="6" w:name="_Toc3092"/>
      <w:bookmarkStart w:id="7" w:name="_Toc29374"/>
      <w:r>
        <w:rPr>
          <w:rFonts w:hint="eastAsia" w:ascii="黑体" w:hAnsi="黑体" w:eastAsia="黑体"/>
          <w:sz w:val="32"/>
          <w:szCs w:val="32"/>
        </w:rPr>
        <w:br w:type="page"/>
      </w:r>
    </w:p>
    <w:p>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2023年度收入总计134.36万元，其中：本年收入合计134.36万元，使用非财政拨款结余0.00万元，年初结转和结余0.00万元。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2023年度支出总计134.36万元，其中：本年支出合计134.36万元，结余分配0.00万元，年末结转和结余0.00万元。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增加134.36万元</w:t>
      </w:r>
      <w:r>
        <w:rPr>
          <w:rFonts w:hint="eastAsia" w:ascii="仿宋_GB2312" w:eastAsia="仿宋_GB2312"/>
          <w:sz w:val="32"/>
          <w:szCs w:val="32"/>
        </w:rPr>
        <w:t>，增长100.00%，主要原因是：单位本年新增学前教育保障机制经费。</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本年收入134.36万元，其中：财政拨款收入</w:t>
      </w:r>
      <w:r>
        <w:rPr>
          <w:rFonts w:hint="eastAsia" w:ascii="仿宋_GB2312" w:eastAsia="仿宋_GB2312"/>
          <w:sz w:val="32"/>
          <w:szCs w:val="32"/>
          <w:lang w:val="zh-CN"/>
        </w:rPr>
        <w:t>126.46</w:t>
      </w:r>
      <w:r>
        <w:rPr>
          <w:rFonts w:hint="eastAsia" w:ascii="仿宋_GB2312" w:eastAsia="仿宋_GB2312"/>
          <w:sz w:val="32"/>
          <w:szCs w:val="32"/>
        </w:rPr>
        <w:t>万元，占</w:t>
      </w:r>
      <w:r>
        <w:rPr>
          <w:rFonts w:hint="eastAsia" w:ascii="仿宋_GB2312" w:eastAsia="仿宋_GB2312"/>
          <w:sz w:val="32"/>
          <w:szCs w:val="32"/>
          <w:lang w:val="zh-CN"/>
        </w:rPr>
        <w:t>94.12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7.90</w:t>
      </w:r>
      <w:r>
        <w:rPr>
          <w:rFonts w:hint="eastAsia" w:ascii="仿宋_GB2312" w:eastAsia="仿宋_GB2312"/>
          <w:sz w:val="32"/>
          <w:szCs w:val="32"/>
        </w:rPr>
        <w:t>万元，占</w:t>
      </w:r>
      <w:r>
        <w:rPr>
          <w:rFonts w:hint="eastAsia" w:ascii="仿宋_GB2312" w:eastAsia="仿宋_GB2312"/>
          <w:sz w:val="32"/>
          <w:szCs w:val="32"/>
          <w:lang w:val="zh-CN"/>
        </w:rPr>
        <w:t>5.88</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本年支出134.36万元，其中：基本支出92.64万元，占68.95%；项目支出41.73万元，占31.06%；上缴上级支出0.00万元，占0.00%；经营支出0.00万元，占0.00%；对附属单位补助支出0.00万元，占0.00%。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126.46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126.46</w:t>
      </w:r>
      <w:r>
        <w:rPr>
          <w:rFonts w:hint="eastAsia" w:ascii="仿宋_GB2312" w:eastAsia="仿宋_GB2312"/>
          <w:sz w:val="32"/>
          <w:szCs w:val="32"/>
        </w:rPr>
        <w:t>万元。财政拨款支出总计</w:t>
      </w:r>
      <w:r>
        <w:rPr>
          <w:rFonts w:hint="eastAsia" w:ascii="仿宋_GB2312" w:eastAsia="仿宋_GB2312"/>
          <w:sz w:val="32"/>
          <w:szCs w:val="32"/>
          <w:lang w:val="zh-CN"/>
        </w:rPr>
        <w:t>126.46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126.46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增加126.46万元</w:t>
      </w:r>
      <w:r>
        <w:rPr>
          <w:rFonts w:hint="eastAsia" w:ascii="仿宋_GB2312" w:eastAsia="仿宋_GB2312"/>
          <w:sz w:val="32"/>
          <w:szCs w:val="32"/>
        </w:rPr>
        <w:t>，增长100.00%,主要原因是：单位本年新增学前教育保障机制经费。与年初预算相比，年初预算数</w:t>
      </w:r>
      <w:r>
        <w:rPr>
          <w:rFonts w:hint="eastAsia" w:ascii="仿宋_GB2312" w:eastAsia="仿宋_GB2312"/>
          <w:sz w:val="32"/>
          <w:szCs w:val="32"/>
          <w:lang w:val="zh-CN"/>
        </w:rPr>
        <w:t>90.86</w:t>
      </w:r>
      <w:r>
        <w:rPr>
          <w:rFonts w:hint="eastAsia" w:ascii="仿宋_GB2312" w:eastAsia="仿宋_GB2312"/>
          <w:sz w:val="32"/>
          <w:szCs w:val="32"/>
        </w:rPr>
        <w:t>万元，决算数</w:t>
      </w:r>
      <w:r>
        <w:rPr>
          <w:rFonts w:hint="eastAsia" w:ascii="仿宋_GB2312" w:eastAsia="仿宋_GB2312"/>
          <w:sz w:val="32"/>
          <w:szCs w:val="32"/>
          <w:lang w:val="zh-CN"/>
        </w:rPr>
        <w:t>126.46</w:t>
      </w:r>
      <w:r>
        <w:rPr>
          <w:rFonts w:hint="eastAsia" w:ascii="仿宋_GB2312" w:eastAsia="仿宋_GB2312"/>
          <w:sz w:val="32"/>
          <w:szCs w:val="32"/>
        </w:rPr>
        <w:t>万元，预决算差异率39.18%，主要原因是：年中追加人员工资、社保、津补贴等人员经费。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2023年度一般公共预算财政拨款支出126.46万元，占本年支出合计的</w:t>
      </w:r>
      <w:r>
        <w:rPr>
          <w:rFonts w:hint="eastAsia" w:ascii="仿宋_GB2312" w:eastAsia="仿宋_GB2312"/>
          <w:sz w:val="32"/>
          <w:szCs w:val="32"/>
          <w:lang w:val="zh-CN"/>
        </w:rPr>
        <w:t>94.12%</w:t>
      </w:r>
      <w:r>
        <w:rPr>
          <w:rFonts w:hint="eastAsia" w:ascii="仿宋_GB2312" w:eastAsia="仿宋_GB2312"/>
          <w:sz w:val="32"/>
          <w:szCs w:val="32"/>
        </w:rPr>
        <w:t>。与上年相比，</w:t>
      </w:r>
      <w:r>
        <w:rPr>
          <w:rFonts w:hint="eastAsia" w:ascii="仿宋_GB2312" w:eastAsia="仿宋_GB2312"/>
          <w:sz w:val="32"/>
          <w:szCs w:val="32"/>
          <w:lang w:val="zh-CN"/>
        </w:rPr>
        <w:t>增加126.46万元</w:t>
      </w:r>
      <w:r>
        <w:rPr>
          <w:rFonts w:hint="eastAsia" w:ascii="仿宋_GB2312" w:eastAsia="仿宋_GB2312"/>
          <w:sz w:val="32"/>
          <w:szCs w:val="32"/>
        </w:rPr>
        <w:t>，增长100.00%,主要原因是：单位本年新增学前教育保障机制经费。与年初预算相比，年初预算数</w:t>
      </w:r>
      <w:r>
        <w:rPr>
          <w:rFonts w:hint="eastAsia" w:ascii="仿宋_GB2312" w:eastAsia="仿宋_GB2312"/>
          <w:sz w:val="32"/>
          <w:szCs w:val="32"/>
          <w:lang w:val="zh-CN"/>
        </w:rPr>
        <w:t>90.86</w:t>
      </w:r>
      <w:r>
        <w:rPr>
          <w:rFonts w:hint="eastAsia" w:ascii="仿宋_GB2312" w:eastAsia="仿宋_GB2312"/>
          <w:sz w:val="32"/>
          <w:szCs w:val="32"/>
        </w:rPr>
        <w:t>万元，决算数</w:t>
      </w:r>
      <w:r>
        <w:rPr>
          <w:rFonts w:hint="eastAsia" w:ascii="仿宋_GB2312" w:eastAsia="仿宋_GB2312"/>
          <w:sz w:val="32"/>
          <w:szCs w:val="32"/>
          <w:lang w:val="zh-CN"/>
        </w:rPr>
        <w:t>126.46</w:t>
      </w:r>
      <w:r>
        <w:rPr>
          <w:rFonts w:hint="eastAsia" w:ascii="仿宋_GB2312" w:eastAsia="仿宋_GB2312"/>
          <w:sz w:val="32"/>
          <w:szCs w:val="32"/>
        </w:rPr>
        <w:t>万元，预决算差异率</w:t>
      </w:r>
      <w:r>
        <w:rPr>
          <w:rFonts w:hint="eastAsia" w:ascii="仿宋_GB2312" w:eastAsia="仿宋_GB2312"/>
          <w:sz w:val="32"/>
          <w:szCs w:val="32"/>
          <w:lang w:val="zh-CN"/>
        </w:rPr>
        <w:t>39.18%</w:t>
      </w:r>
      <w:r>
        <w:rPr>
          <w:rFonts w:hint="eastAsia" w:ascii="仿宋_GB2312" w:eastAsia="仿宋_GB2312"/>
          <w:sz w:val="32"/>
          <w:szCs w:val="32"/>
        </w:rPr>
        <w:t>，主要原因是：年中追加人员工资、社保、津补贴等人员经费。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jc w:val="left"/>
        <w:rPr>
          <w:rFonts w:ascii="仿宋_GB2312" w:eastAsia="仿宋_GB2312"/>
          <w:sz w:val="32"/>
          <w:szCs w:val="32"/>
          <w:lang w:val="zh-CN"/>
        </w:rPr>
      </w:pPr>
      <w:r>
        <w:rPr>
          <w:rFonts w:hint="eastAsia" w:ascii="仿宋_GB2312" w:eastAsia="仿宋_GB2312"/>
          <w:sz w:val="32"/>
          <w:szCs w:val="32"/>
        </w:rPr>
        <w:t>1</w:t>
      </w:r>
      <w:r>
        <w:rPr>
          <w:rFonts w:ascii="仿宋_GB2312" w:eastAsia="仿宋_GB2312"/>
          <w:sz w:val="32"/>
          <w:szCs w:val="32"/>
          <w:lang w:val="zh-CN"/>
        </w:rPr>
        <w:t>.教育支出（类）</w:t>
      </w:r>
      <w:r>
        <w:rPr>
          <w:rFonts w:hint="eastAsia" w:ascii="仿宋_GB2312" w:eastAsia="仿宋_GB2312"/>
          <w:sz w:val="32"/>
          <w:szCs w:val="32"/>
          <w:lang w:val="zh-CN"/>
        </w:rPr>
        <w:t>126.46</w:t>
      </w:r>
      <w:r>
        <w:rPr>
          <w:rFonts w:ascii="仿宋_GB2312" w:eastAsia="仿宋_GB2312"/>
          <w:sz w:val="32"/>
          <w:szCs w:val="32"/>
          <w:lang w:val="zh-CN"/>
        </w:rPr>
        <w:t>万元，占</w:t>
      </w:r>
      <w:r>
        <w:rPr>
          <w:rFonts w:hint="eastAsia" w:ascii="仿宋_GB2312" w:eastAsia="仿宋_GB2312"/>
          <w:sz w:val="32"/>
          <w:szCs w:val="32"/>
          <w:lang w:val="zh-CN"/>
        </w:rPr>
        <w:t>100.00</w:t>
      </w:r>
      <w:r>
        <w:rPr>
          <w:rFonts w:ascii="仿宋_GB2312" w:eastAsia="仿宋_GB2312"/>
          <w:sz w:val="32"/>
          <w:szCs w:val="32"/>
          <w:lang w:val="zh-CN"/>
        </w:rPr>
        <w:t>%</w:t>
      </w:r>
      <w:r>
        <w:rPr>
          <w:rFonts w:hint="eastAsia" w:ascii="仿宋_GB2312" w:eastAsia="仿宋_GB231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lang w:val="zh-CN"/>
        </w:rPr>
      </w:pPr>
      <w:r>
        <w:rPr>
          <w:rFonts w:hint="eastAsia" w:ascii="仿宋_GB2312" w:eastAsia="仿宋_GB2312"/>
          <w:sz w:val="32"/>
          <w:szCs w:val="32"/>
        </w:rPr>
        <w:t>1.教育支出（类）普通教育（款）学前教育（项）:支出决算数为126.46万元，比上年决算增加126.46万元，增长100%，主要原因是：</w:t>
      </w:r>
      <w:r>
        <w:rPr>
          <w:rFonts w:hint="eastAsia" w:ascii="仿宋_GB2312" w:eastAsia="仿宋_GB2312"/>
          <w:sz w:val="32"/>
          <w:szCs w:val="32"/>
          <w:lang w:val="zh-CN"/>
        </w:rPr>
        <w:t>单位本年新增学前教育保障机制经费。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84.74万元，其中：人员经费78.64万元，包括：基本工资、津贴补贴、奖金、机关事业单位基本养老保险缴费、职工基本医疗保险缴费、其他社会保障缴费、住房公积金、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公用经费6.10万元，包括：水费、电费、取暖费。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木垒哈萨克自治县第三幼儿园</w:t>
      </w:r>
      <w:r>
        <w:rPr>
          <w:rFonts w:hint="eastAsia" w:ascii="仿宋_GB2312" w:eastAsia="仿宋_GB2312"/>
          <w:sz w:val="32"/>
          <w:szCs w:val="32"/>
          <w:lang w:val="zh-CN"/>
        </w:rPr>
        <w:t>（事业单位）公用经费支出6.10万元，比上年增加6.10万元，增长</w:t>
      </w:r>
      <w:r>
        <w:rPr>
          <w:rFonts w:hint="eastAsia" w:ascii="仿宋_GB2312" w:eastAsia="仿宋_GB2312"/>
          <w:sz w:val="32"/>
          <w:szCs w:val="32"/>
        </w:rPr>
        <w:t>100</w:t>
      </w:r>
      <w:r>
        <w:rPr>
          <w:rFonts w:hint="eastAsia" w:ascii="仿宋_GB2312" w:eastAsia="仿宋_GB2312"/>
          <w:sz w:val="32"/>
          <w:szCs w:val="32"/>
          <w:lang w:val="zh-CN"/>
        </w:rPr>
        <w:t>.00%，主要原因是：</w:t>
      </w:r>
      <w:r>
        <w:rPr>
          <w:rFonts w:hint="eastAsia" w:ascii="仿宋_GB2312" w:eastAsia="仿宋_GB2312"/>
          <w:sz w:val="32"/>
          <w:szCs w:val="32"/>
        </w:rPr>
        <w:t>单位本年增加水费、电费、取暖费</w:t>
      </w:r>
      <w:r>
        <w:rPr>
          <w:rFonts w:hint="eastAsia" w:ascii="仿宋_GB2312" w:eastAsia="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2023年度政府采购支出总额8.74万元，其中：政府采购货物支出8.74万元、政府采购工程支出0.00万元、政府采购服务支出0.00万元。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授予中小企业合同金额8.74万元，占政府采购支出总额的100.00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，其中：授予小微企业合同金额8.74万元，占政府采购支出总额的100.00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74.67</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预算总额134.36万元，实际执行总额134.36万元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校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绩效监控管理理念有待进一步增强，绩效监控政策宣传不到位；二是机构设置和队伍建设需要进一步推进。我单位没有设置专门的预算绩效管理部门，只是由财务科负责，人员数量较少，专业能力较弱，现有工作人员的业务水平还不能满足绩效管理工作要求，业务素质急需提高。下一步改进措施：一是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具体项目自评情况附绩效自评表及自评报告。</w:t>
      </w:r>
    </w:p>
    <w:tbl>
      <w:tblPr>
        <w:tblStyle w:val="9"/>
        <w:tblW w:w="1250" w:type="pct"/>
        <w:jc w:val="center"/>
        <w:tblLayout w:type="autofit"/>
        <w:tblCellMar>
          <w:top w:w="0" w:type="dxa"/>
          <w:left w:w="108" w:type="dxa"/>
          <w:bottom w:w="0" w:type="dxa"/>
          <w:right w:w="108" w:type="dxa"/>
        </w:tblCellMar>
      </w:tblPr>
      <w:tblGrid>
        <w:gridCol w:w="1554"/>
        <w:gridCol w:w="1197"/>
        <w:gridCol w:w="1171"/>
        <w:gridCol w:w="968"/>
        <w:gridCol w:w="1001"/>
        <w:gridCol w:w="793"/>
        <w:gridCol w:w="916"/>
        <w:gridCol w:w="922"/>
      </w:tblGrid>
      <w:tr>
        <w:tblPrEx>
          <w:tblCellMar>
            <w:top w:w="0" w:type="dxa"/>
            <w:left w:w="108" w:type="dxa"/>
            <w:bottom w:w="0" w:type="dxa"/>
            <w:right w:w="108" w:type="dxa"/>
          </w:tblCellMar>
        </w:tblPrEx>
        <w:trPr>
          <w:trHeight w:val="522" w:hRule="atLeast"/>
          <w:jc w:val="center"/>
        </w:trPr>
        <w:tc>
          <w:tcPr>
            <w:tcW w:w="1419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w:t>
            </w:r>
          </w:p>
        </w:tc>
      </w:tr>
      <w:tr>
        <w:tblPrEx>
          <w:tblCellMar>
            <w:top w:w="0" w:type="dxa"/>
            <w:left w:w="108" w:type="dxa"/>
            <w:bottom w:w="0" w:type="dxa"/>
            <w:right w:w="108" w:type="dxa"/>
          </w:tblCellMar>
        </w:tblPrEx>
        <w:trPr>
          <w:trHeight w:val="57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27.36</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27.36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90.86</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14.37</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14.37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bookmarkStart w:id="48" w:name="_GoBack" w:colFirst="5" w:colLast="7"/>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84.73</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84.73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7.90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7.90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bookmarkEnd w:id="48"/>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90.86</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134.36</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134.36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5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目标1：保障木垒哈萨克自治县第三幼儿园教育教学工资圆满完成。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目标2：抓提高，求发展，初步形成科学规范的管理体系，加强班主任工作，提高教育教学管理水平。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目标3：积极开展班队活动、校园艺术节，特色体育和艺术教育等活动，努力构建多彩的校园文化。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目标4：保障学前教育各项工作的正常开展，改善办学条件，维护学校正常运转。为各族少年儿童学习在学校、生活在学校、成长在学校创设良好条件。</w:t>
            </w:r>
          </w:p>
        </w:tc>
        <w:tc>
          <w:tcPr>
            <w:tcW w:w="59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单位整体绩效目标共设置一级指标5个，分别为运行成本、管理效率、履职效能、社会效益、服务对象满意度；二级指标3个，其中数量指标1个，质量指标1个，时效指标1个；三级指标10个；其中已完成三级指标10个，指标完成率为100%。</w:t>
            </w:r>
          </w:p>
        </w:tc>
      </w:tr>
      <w:tr>
        <w:tblPrEx>
          <w:tblCellMar>
            <w:top w:w="0" w:type="dxa"/>
            <w:left w:w="108" w:type="dxa"/>
            <w:bottom w:w="0" w:type="dxa"/>
            <w:right w:w="108" w:type="dxa"/>
          </w:tblCellMar>
        </w:tblPrEx>
        <w:trPr>
          <w:trHeight w:val="58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保障学校办公人员数量</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&gt;=22人</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木垒哈萨克自治县第三幼儿园机构改革方案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学生补助人数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&gt;=136人</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136人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资金发放率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学生活动参与率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学生升学（毕业）率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教师培训完成率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公用经费覆盖率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班主任培训人次</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&gt;=5人次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5人次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学前免费教育政策知晓率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&gt;=98%</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学生家长满意度</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843335"/>
    <w:rsid w:val="00213C59"/>
    <w:rsid w:val="003210CE"/>
    <w:rsid w:val="00577974"/>
    <w:rsid w:val="00843335"/>
    <w:rsid w:val="00B54366"/>
    <w:rsid w:val="00B70D59"/>
    <w:rsid w:val="00C818FB"/>
    <w:rsid w:val="00F1334F"/>
    <w:rsid w:val="00F3105B"/>
    <w:rsid w:val="00F52A8D"/>
    <w:rsid w:val="00FB68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E47A0"/>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194BBB"/>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0B3B70"/>
    <w:rsid w:val="36965B9D"/>
    <w:rsid w:val="36C549FD"/>
    <w:rsid w:val="37433904"/>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15523"/>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171B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5533</Words>
  <Characters>6207</Characters>
  <Lines>52</Lines>
  <Paragraphs>14</Paragraphs>
  <TotalTime>50</TotalTime>
  <ScaleCrop>false</ScaleCrop>
  <LinksUpToDate>false</LinksUpToDate>
  <CharactersWithSpaces>6246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2024-09-02T10:03:10Z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